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급여명세서(임금명세서)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근로기준법 제48조에 따라 사용자는 임금 지급 시 임금의 구성항목·계산방법·공제내역을 기재한 임금명세서를 근로자에게 교부하여야 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 사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지급일자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2026.08.25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사번 / 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 / 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 ~ 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근무일수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21일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지 급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지급 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계산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기본급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월 통상임금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지급액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공 제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공제 항목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계산 방법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국민연금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과세대상 소득 × 4.5%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135,000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공제액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실 지 급 액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지급 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근로자 명의 계좌 입금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