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유언장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8"/>
        </w:rPr>
        <w:t>※ 자필증서 유언은 유언자가 그 전문과 연월일, 주소, 성명을 모두 자서(自書)하고 날인하여야 효력이 있습니다.(민법 제1066조) 본 서식은 내용 정리를 위한 참고용이며, 실제 유언장은 전문을 직접 손으로 작성하시기 바랍니다.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유 언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500101-1******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재 산 목 록 및 상 속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재산 구분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재산의 표시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상속인 / 수유자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지분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부동산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서울시 강남구 ○○아파트 101동 1001호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장남 홍아들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1/2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기 타 유 언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4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장례 방법, 유언집행자 지정, 가족에게 남기는 말 등을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유언집행자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홍아들 (관계: 장남)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2"/>
        </w:rPr>
        <w:t>위와 같이 유언합니다.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유언자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