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지급명령신청서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/>
          <w:sz w:val="22"/>
        </w:rPr>
        <w:t>지 급 명 령 신 청 서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15"/>
        </w:rPr>
        <w:t>※ 지급명령(독촉절차)은 소송보다 간이·신속하게 채권을 확보하는 절차이며, 채무자가 2주 내 이의를 제기하면 통상의 소송으로 이행됩니다.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채 권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채 무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성명(상호)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김채무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연 락 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청 구 금 액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 액 (원)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 고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원금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2026.08.10자 대여금</w:t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합  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신 청 취 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05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채무자는 채권자에게 금 20,000,000원 및 이에 대하여 이 사건 지급명령 정본 송달 다음날부터 다 갚는 날까지 연 12%의 비율에 의한 금원과 독촉절차비용을 지급하라는 명령을 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신 청 이 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84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1. 채권의 발생 경위 (계약일, 금액, 조건)</w:t>
              <w:br/>
              <w:t>2. 변제기 도래 사실</w:t>
              <w:br/>
              <w:t>3. 채무자의 미변제 사실 및 독촉 경과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첨 부 서 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서류명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부수</w:t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차용증 사본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1부</w:t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63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18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채권자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제출처    ○○지방법원 귀중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