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부당해고 구제신청서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6"/>
        </w:rPr>
        <w:t>※ 부당해고 구제신청은 해고가 있었던 날부터 3개월 이내에 사업장 관할 지방노동위원회에 신청하여야 합니다.(근로기준법 제28조)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신 청 인 (근 로 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피 신 청 인 (사 용 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사업체명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김대표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사업장 주소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상시 근로자 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35명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 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도소매업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근 로 관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담당 업무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마케팅 기획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해고 통보일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2026.07.20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해고 효력 발생일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해고 통보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서면 / 구두 / 문자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월 평균임금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3,400,000원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신 청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피신청인이 2026년 8월 20일 신청인에게 행한 해고는 부당해고임을 인정하고, 원직에 복직시키고 해고 기간 동안의 임금 상당액을 지급하라는 판정을 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신 청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0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1. 근로관계의 성립</w:t>
              <w:br/>
              <w:t>2. 해고의 경위</w:t>
              <w:br/>
              <w:t>3. 해고 사유의 부당성 (정당한 이유 부존재)</w:t>
              <w:br/>
              <w:t>4. 해고 절차의 위법성 (서면통지 위반 등)</w:t>
              <w:br/>
              <w:t>5. 결론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9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신청인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제출처    ○○지방노동위원회 귀중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