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근로자명부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사업장명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근로기준법 제41조 및 시행령 제20조에 따라 근로자 명부를 작성·비치하여야 하며, 3년간 보존하여야 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생년월일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 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직위 / 담당업무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입사일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퇴사일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서울시 강남구 테헤란로 123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 / 마케팅 기획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