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해고예고통지서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인사-2026-020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통지일자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대 상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입사일자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해고예정일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해 고 사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근로기준법 제27조에 따라 해고사유와 해고시기를 구체적으로 기재하여야 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관 련 법 령 안 내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1. 사용자는 근로자를 해고하려면 적어도 30일 전에 예고하여야 하며, 30일 전에 예고를 하지 아니하였을 때에는 30일분 이상의 통상임금을 지급하여야 합니다.(근로기준법 제26조)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2. 사용자는 근로자를 해고하려면 해고사유와 해고시기를 서면으로 통지하여야 효력이 있습니다.(근로기준법 제27조)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3. 부당해고라고 판단되는 경우 근로자는 해고가 있었던 날부터 3개월 이내에 노동위원회에 구제를 신청할 수 있습니다.(근로기준법 제28조)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해고를 예고하오니 양지하시기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사업주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