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품의서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문서번호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마케팅-2026-042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기안일자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보존연한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시행일자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제 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하반기 온라인 광고 집행 품의의 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품 의 사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왜 이 지출·결정이 필요한지 배경과 근거를 구체적으로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품 의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항 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내 역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수량 / 기간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온라인 광고비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포털 검색광고 집행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3개월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9,000,000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예산과목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판매관리비 - 광고선전비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집행방법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계좌이체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기대 효과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집행 후 기대되는 정량적·정성적 효과를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위와 같이 품의하오니 재가하여 주시기 바랍니다.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